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7487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26144" w:rsidP="00B2344F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П</w:t>
            </w:r>
            <w:r w:rsidR="00B2344F">
              <w:rPr>
                <w:rFonts w:ascii="Tahoma" w:hAnsi="Tahoma" w:cs="Tahoma"/>
                <w:sz w:val="20"/>
                <w:szCs w:val="20"/>
              </w:rPr>
              <w:t>риобретение  запасных  частей  к  платежно-пропускной  системе.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B2344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 xml:space="preserve">до 31.12.2017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2344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B2344F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2344F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2344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2344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2344F">
              <w:rPr>
                <w:rFonts w:ascii="Tahoma" w:hAnsi="Tahoma" w:cs="Tahoma"/>
                <w:sz w:val="20"/>
                <w:szCs w:val="20"/>
                <w:u w:val="single"/>
              </w:rPr>
              <w:t xml:space="preserve"> 17.03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B2344F">
              <w:rPr>
                <w:rFonts w:ascii="Tahoma" w:hAnsi="Tahoma" w:cs="Tahoma"/>
                <w:sz w:val="20"/>
                <w:szCs w:val="20"/>
                <w:u w:val="single"/>
              </w:rPr>
              <w:t>201</w:t>
            </w:r>
            <w:r w:rsidR="00B2344F" w:rsidRPr="00B2344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B2344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34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31E2F" w:rsidRPr="00796173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796173" w:rsidRDefault="00B2344F" w:rsidP="00B234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Доставка товара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до склада  По</w:t>
            </w:r>
            <w:r>
              <w:rPr>
                <w:rFonts w:ascii="Tahoma" w:hAnsi="Tahoma" w:cs="Tahoma"/>
                <w:sz w:val="20"/>
                <w:szCs w:val="20"/>
              </w:rPr>
              <w:t>купателя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</w:tc>
      </w:tr>
      <w:tr w:rsidR="00C31E2F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C31E2F" w:rsidRPr="00F93FAB" w:rsidRDefault="00C31E2F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C31E2F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A1777" w:rsidRPr="00F93FAB" w:rsidRDefault="00AA1777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31E2F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2F" w:rsidRPr="00F93FAB" w:rsidRDefault="00C31E2F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C31E2F" w:rsidRPr="00796173" w:rsidTr="00461C95">
        <w:tc>
          <w:tcPr>
            <w:tcW w:w="3544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lastRenderedPageBreak/>
              <w:t>1</w:t>
            </w:r>
            <w:r w:rsidR="00D322A2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D322A2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31E2F" w:rsidRPr="00796173" w:rsidRDefault="00C31E2F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322A2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1E2F"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A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A36BB" w:rsidRDefault="005623F4" w:rsidP="000A36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0A36BB">
              <w:rPr>
                <w:rFonts w:ascii="Tahoma" w:hAnsi="Tahoma" w:cs="Tahoma"/>
                <w:sz w:val="20"/>
                <w:szCs w:val="20"/>
              </w:rPr>
              <w:t xml:space="preserve">подтверждение от разработчика (ООО «Разработка информационных систем») о совместимости поставляемых запасных частей с оборудованием, используемым в платежно-пропускной системе </w:t>
            </w:r>
            <w:proofErr w:type="spellStart"/>
            <w:r w:rsidR="000A36BB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="000A36BB">
              <w:rPr>
                <w:rFonts w:ascii="Tahoma" w:hAnsi="Tahoma" w:cs="Tahoma"/>
                <w:sz w:val="20"/>
                <w:szCs w:val="20"/>
              </w:rPr>
              <w:t xml:space="preserve"> «Бобровый лог» (инф. справка)</w:t>
            </w:r>
          </w:p>
          <w:p w:rsidR="00F93FAB" w:rsidRPr="000A36BB" w:rsidRDefault="000A36BB" w:rsidP="000A36BB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опыт работы не менее  3-х лет (свидетельство о постановке на учет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F93FAB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о</w:t>
            </w:r>
            <w:proofErr w:type="gramEnd"/>
            <w:r w:rsidR="00F93FAB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дукции (копия);</w:t>
            </w:r>
          </w:p>
        </w:tc>
      </w:tr>
      <w:tr w:rsidR="00E97E1F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AA1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322A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167C99" w:rsidRDefault="00DD16F7" w:rsidP="00167C99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A74877">
        <w:rPr>
          <w:rFonts w:ascii="Tahoma" w:hAnsi="Tahoma" w:cs="Tahoma"/>
          <w:sz w:val="20"/>
          <w:szCs w:val="20"/>
        </w:rPr>
        <w:t>аправлять на электронный адрес:</w:t>
      </w:r>
      <w:bookmarkStart w:id="0" w:name="_GoBack"/>
      <w:bookmarkEnd w:id="0"/>
      <w:r w:rsidR="00167C99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67C99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167C99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67C9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67C99">
        <w:rPr>
          <w:rFonts w:ascii="Tahoma" w:hAnsi="Tahoma" w:cs="Tahoma"/>
          <w:sz w:val="20"/>
          <w:szCs w:val="20"/>
        </w:rPr>
        <w:t>Павливу</w:t>
      </w:r>
      <w:proofErr w:type="spellEnd"/>
      <w:r w:rsidR="00167C99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1" w:history="1">
        <w:r w:rsidR="00167C99">
          <w:rPr>
            <w:rStyle w:val="a8"/>
            <w:rFonts w:ascii="Tahoma" w:hAnsi="Tahoma" w:cs="Tahoma"/>
            <w:sz w:val="20"/>
            <w:szCs w:val="20"/>
          </w:rPr>
          <w:t>mezentsev@bobrovylog.ru</w:t>
        </w:r>
      </w:hyperlink>
      <w:r w:rsidR="00167C99">
        <w:rPr>
          <w:rFonts w:ascii="Tahoma" w:hAnsi="Tahoma" w:cs="Tahoma"/>
          <w:sz w:val="20"/>
          <w:szCs w:val="20"/>
        </w:rPr>
        <w:t xml:space="preserve"> </w:t>
      </w:r>
      <w:r w:rsidR="00167C99">
        <w:rPr>
          <w:rFonts w:ascii="Arial CYR" w:hAnsi="Arial CYR" w:cs="Arial CYR"/>
          <w:sz w:val="20"/>
          <w:szCs w:val="20"/>
        </w:rPr>
        <w:t>Мезенцеву Андрею Васильевичу.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2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D322A2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12</w:t>
            </w:r>
            <w:r w:rsidR="00A74877"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3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A36BB"/>
    <w:rsid w:val="000C379B"/>
    <w:rsid w:val="000D4CF4"/>
    <w:rsid w:val="000E3A30"/>
    <w:rsid w:val="000F3D9F"/>
    <w:rsid w:val="00152FEC"/>
    <w:rsid w:val="00167C99"/>
    <w:rsid w:val="00175D6B"/>
    <w:rsid w:val="00244222"/>
    <w:rsid w:val="00245F7D"/>
    <w:rsid w:val="00247010"/>
    <w:rsid w:val="002909D5"/>
    <w:rsid w:val="00297967"/>
    <w:rsid w:val="003360CD"/>
    <w:rsid w:val="00353DEF"/>
    <w:rsid w:val="00357523"/>
    <w:rsid w:val="003965A8"/>
    <w:rsid w:val="003A67BC"/>
    <w:rsid w:val="003F3BC6"/>
    <w:rsid w:val="004210FA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810CA"/>
    <w:rsid w:val="00682138"/>
    <w:rsid w:val="00683CEC"/>
    <w:rsid w:val="006C5ACB"/>
    <w:rsid w:val="006F7C9D"/>
    <w:rsid w:val="00783067"/>
    <w:rsid w:val="00826144"/>
    <w:rsid w:val="0086690E"/>
    <w:rsid w:val="00866A9B"/>
    <w:rsid w:val="00873845"/>
    <w:rsid w:val="00876ABA"/>
    <w:rsid w:val="00883D55"/>
    <w:rsid w:val="009A6B03"/>
    <w:rsid w:val="009B1C24"/>
    <w:rsid w:val="00A36884"/>
    <w:rsid w:val="00A5323F"/>
    <w:rsid w:val="00A74877"/>
    <w:rsid w:val="00A92FBE"/>
    <w:rsid w:val="00AA1777"/>
    <w:rsid w:val="00AC2FBE"/>
    <w:rsid w:val="00AD2D44"/>
    <w:rsid w:val="00AF3533"/>
    <w:rsid w:val="00B2344F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ist@bobrovy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zentsev@bobrovy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iv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AAC1-8294-4F2F-A4D2-7CE1B4EA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37</cp:revision>
  <cp:lastPrinted>2016-11-18T03:33:00Z</cp:lastPrinted>
  <dcterms:created xsi:type="dcterms:W3CDTF">2016-10-17T03:55:00Z</dcterms:created>
  <dcterms:modified xsi:type="dcterms:W3CDTF">2017-02-20T11:01:00Z</dcterms:modified>
</cp:coreProperties>
</file>