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484512">
        <w:trPr>
          <w:trHeight w:hRule="exact" w:val="8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52FFA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752FFA">
              <w:rPr>
                <w:rFonts w:ascii="Tahoma" w:hAnsi="Tahoma" w:cs="Tahoma"/>
                <w:sz w:val="20"/>
                <w:szCs w:val="20"/>
              </w:rPr>
              <w:t xml:space="preserve">Оказание рекламно-полиграфических услуг по широкоформатной печати на различных материалах: баннеры, растяжки, </w:t>
            </w:r>
            <w:proofErr w:type="spellStart"/>
            <w:r w:rsidRPr="00752FFA">
              <w:rPr>
                <w:rFonts w:ascii="Tahoma" w:hAnsi="Tahoma" w:cs="Tahoma"/>
                <w:sz w:val="20"/>
                <w:szCs w:val="20"/>
              </w:rPr>
              <w:t>самоклеющаяся</w:t>
            </w:r>
            <w:proofErr w:type="spellEnd"/>
            <w:r w:rsidRPr="00752FFA">
              <w:rPr>
                <w:rFonts w:ascii="Tahoma" w:hAnsi="Tahoma" w:cs="Tahoma"/>
                <w:sz w:val="20"/>
                <w:szCs w:val="20"/>
              </w:rPr>
              <w:t xml:space="preserve"> пленка, нанесение на стекло, фасады и т.д.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EC218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C2183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31</w:t>
            </w:r>
            <w:r w:rsidR="00EB135B" w:rsidRPr="00EC2183">
              <w:rPr>
                <w:rFonts w:ascii="Tahoma" w:hAnsi="Tahoma" w:cs="Tahoma"/>
                <w:sz w:val="20"/>
                <w:szCs w:val="20"/>
              </w:rPr>
              <w:t>.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12</w:t>
            </w:r>
            <w:r w:rsidRPr="00EC2183">
              <w:rPr>
                <w:rFonts w:ascii="Tahoma" w:hAnsi="Tahoma" w:cs="Tahoma"/>
                <w:sz w:val="20"/>
                <w:szCs w:val="20"/>
              </w:rPr>
              <w:t>.201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7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676AA1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bookmarkStart w:id="0" w:name="_GoBack"/>
            <w:bookmarkEnd w:id="0"/>
            <w:r w:rsidRPr="006307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291EE4" w:rsidRDefault="00291EE4" w:rsidP="00291EE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291EE4">
              <w:rPr>
                <w:rFonts w:ascii="Tahoma" w:hAnsi="Tahoma" w:cs="Tahoma"/>
                <w:sz w:val="20"/>
              </w:rPr>
              <w:t>.Требования к сертификации Продукции, лицензиям, допускам к определенному виду работ.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291EE4" w:rsidRDefault="00752FF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Монтажные/демонтажные работы (по необходимости), монтажные работы на высоте (подтвердить свидетельством/допуском/разрешением)</w:t>
            </w:r>
            <w:r w:rsidR="00291E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91EE4" w:rsidRPr="00F93FAB" w:rsidRDefault="00291EE4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91EE4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91EE4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91EE4" w:rsidRPr="00796173" w:rsidTr="00461C95">
        <w:tc>
          <w:tcPr>
            <w:tcW w:w="3544" w:type="dxa"/>
            <w:shd w:val="clear" w:color="auto" w:fill="auto"/>
          </w:tcPr>
          <w:p w:rsidR="00291EE4" w:rsidRPr="00796173" w:rsidRDefault="00291EE4" w:rsidP="00461C95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291EE4" w:rsidRPr="00796173" w:rsidRDefault="00291EE4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291EE4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Default="00291EE4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91EE4" w:rsidRDefault="00291EE4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9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FFA">
              <w:rPr>
                <w:rFonts w:ascii="Tahoma" w:hAnsi="Tahoma" w:cs="Tahoma"/>
                <w:sz w:val="20"/>
                <w:szCs w:val="20"/>
              </w:rPr>
              <w:t>в</w:t>
            </w:r>
            <w:r w:rsidR="00752FFA" w:rsidRPr="00752FFA">
              <w:rPr>
                <w:rFonts w:ascii="Tahoma" w:hAnsi="Tahoma" w:cs="Tahoma"/>
                <w:sz w:val="20"/>
                <w:szCs w:val="20"/>
              </w:rPr>
              <w:t xml:space="preserve">ысокое разрешение печати до 1440 </w:t>
            </w:r>
            <w:proofErr w:type="spellStart"/>
            <w:r w:rsidR="00752FFA" w:rsidRPr="00752FFA">
              <w:rPr>
                <w:rFonts w:ascii="Tahoma" w:hAnsi="Tahoma" w:cs="Tahoma"/>
                <w:sz w:val="20"/>
                <w:szCs w:val="20"/>
              </w:rPr>
              <w:t>dpi</w:t>
            </w:r>
            <w:proofErr w:type="spellEnd"/>
            <w:r w:rsidR="00752FFA" w:rsidRPr="00752FFA">
              <w:rPr>
                <w:rFonts w:ascii="Tahoma" w:hAnsi="Tahoma" w:cs="Tahoma"/>
                <w:sz w:val="20"/>
                <w:szCs w:val="20"/>
              </w:rPr>
              <w:t xml:space="preserve"> - для интерьерной печати и до 700 </w:t>
            </w:r>
            <w:proofErr w:type="spellStart"/>
            <w:r w:rsidR="00752FFA" w:rsidRPr="00752FFA">
              <w:rPr>
                <w:rFonts w:ascii="Tahoma" w:hAnsi="Tahoma" w:cs="Tahoma"/>
                <w:sz w:val="20"/>
                <w:szCs w:val="20"/>
              </w:rPr>
              <w:t>dpi</w:t>
            </w:r>
            <w:proofErr w:type="spellEnd"/>
            <w:r w:rsidR="00752FFA" w:rsidRPr="00752FFA">
              <w:rPr>
                <w:rFonts w:ascii="Tahoma" w:hAnsi="Tahoma" w:cs="Tahoma"/>
                <w:sz w:val="20"/>
                <w:szCs w:val="20"/>
              </w:rPr>
              <w:t xml:space="preserve"> с использованием влагоустойчивых </w:t>
            </w:r>
            <w:proofErr w:type="gramStart"/>
            <w:r w:rsidR="00752FFA" w:rsidRPr="00752FFA">
              <w:rPr>
                <w:rFonts w:ascii="Tahoma" w:hAnsi="Tahoma" w:cs="Tahoma"/>
                <w:sz w:val="20"/>
                <w:szCs w:val="20"/>
              </w:rPr>
              <w:t>чернил-для</w:t>
            </w:r>
            <w:proofErr w:type="gramEnd"/>
            <w:r w:rsidR="00752FFA" w:rsidRPr="00752FFA">
              <w:rPr>
                <w:rFonts w:ascii="Tahoma" w:hAnsi="Tahoma" w:cs="Tahoma"/>
                <w:sz w:val="20"/>
                <w:szCs w:val="20"/>
              </w:rPr>
              <w:t xml:space="preserve"> печати баннеров</w:t>
            </w:r>
            <w:r w:rsidR="001563F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9231D" w:rsidRDefault="0019231D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52FFA">
              <w:rPr>
                <w:rFonts w:ascii="Tahoma" w:hAnsi="Tahoma" w:cs="Tahoma"/>
                <w:sz w:val="20"/>
                <w:szCs w:val="20"/>
              </w:rPr>
              <w:t>наличие опыта – не менее 3-х лет</w:t>
            </w:r>
            <w:r w:rsidR="001563F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91EE4" w:rsidRPr="00F93FAB" w:rsidRDefault="00291EE4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продукции (копия);</w:t>
            </w:r>
          </w:p>
        </w:tc>
      </w:tr>
      <w:tr w:rsidR="00767788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767788" w:rsidRDefault="00767788" w:rsidP="001563FA">
            <w:pPr>
              <w:rPr>
                <w:rFonts w:ascii="Tahoma" w:hAnsi="Tahoma" w:cs="Tahoma"/>
                <w:sz w:val="20"/>
              </w:rPr>
            </w:pPr>
            <w:r w:rsidRPr="00767788">
              <w:rPr>
                <w:rFonts w:ascii="Tahoma" w:hAnsi="Tahoma" w:cs="Tahoma"/>
                <w:sz w:val="20"/>
              </w:rPr>
              <w:t>1</w:t>
            </w:r>
            <w:r w:rsidR="001563FA">
              <w:rPr>
                <w:rFonts w:ascii="Tahoma" w:hAnsi="Tahoma" w:cs="Tahoma"/>
                <w:sz w:val="20"/>
              </w:rPr>
              <w:t>2</w:t>
            </w:r>
            <w:r w:rsidRPr="007677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67788">
              <w:rPr>
                <w:rFonts w:ascii="Tahoma" w:hAnsi="Tahoma" w:cs="Tahoma"/>
                <w:sz w:val="20"/>
              </w:rPr>
              <w:t xml:space="preserve">Прочие необходимые требования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752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52FFA">
              <w:rPr>
                <w:rFonts w:ascii="Tahoma" w:hAnsi="Tahoma" w:cs="Tahoma"/>
                <w:sz w:val="20"/>
                <w:szCs w:val="20"/>
              </w:rPr>
              <w:t>Предоставление профессионального портфолио (фото, образцы печати</w:t>
            </w:r>
            <w:proofErr w:type="gramStart"/>
            <w:r w:rsidR="00752FFA">
              <w:rPr>
                <w:rFonts w:ascii="Tahoma" w:hAnsi="Tahoma" w:cs="Tahoma"/>
                <w:sz w:val="20"/>
                <w:szCs w:val="20"/>
              </w:rPr>
              <w:t>)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родукции (копия);</w:t>
            </w:r>
          </w:p>
        </w:tc>
      </w:tr>
      <w:tr w:rsidR="00767788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AA1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563F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291EE4" w:rsidRDefault="00DD16F7" w:rsidP="00BE0BED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можно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н</w:t>
      </w:r>
      <w:r w:rsidR="00A74877">
        <w:rPr>
          <w:rFonts w:ascii="Tahoma" w:hAnsi="Tahoma" w:cs="Tahoma"/>
          <w:sz w:val="20"/>
          <w:szCs w:val="20"/>
        </w:rPr>
        <w:t>аправлять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="00A74877">
        <w:rPr>
          <w:rFonts w:ascii="Tahoma" w:hAnsi="Tahoma" w:cs="Tahoma"/>
          <w:sz w:val="20"/>
          <w:szCs w:val="20"/>
        </w:rPr>
        <w:t xml:space="preserve"> на электронный адрес: </w:t>
      </w:r>
      <w:r w:rsidR="00291EE4" w:rsidRPr="00291EE4">
        <w:rPr>
          <w:rFonts w:ascii="Tahoma" w:hAnsi="Tahoma" w:cs="Tahoma"/>
          <w:color w:val="0000FF"/>
          <w:sz w:val="20"/>
          <w:szCs w:val="20"/>
          <w:u w:val="single"/>
        </w:rPr>
        <w:t>pr@bobrovylog.ru</w:t>
      </w:r>
      <w:r w:rsidR="00291EE4">
        <w:rPr>
          <w:rFonts w:ascii="Tahoma" w:hAnsi="Tahoma" w:cs="Tahoma"/>
          <w:sz w:val="20"/>
          <w:szCs w:val="20"/>
        </w:rPr>
        <w:t xml:space="preserve">  Д</w:t>
      </w:r>
      <w:r w:rsidR="00BE0BED">
        <w:rPr>
          <w:rFonts w:ascii="Tahoma" w:hAnsi="Tahoma" w:cs="Tahoma"/>
          <w:sz w:val="20"/>
          <w:szCs w:val="20"/>
        </w:rPr>
        <w:t>о</w:t>
      </w:r>
      <w:r w:rsidR="00291EE4">
        <w:rPr>
          <w:rFonts w:ascii="Tahoma" w:hAnsi="Tahoma" w:cs="Tahoma"/>
          <w:sz w:val="20"/>
          <w:szCs w:val="20"/>
        </w:rPr>
        <w:t xml:space="preserve">рошенко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 xml:space="preserve">Наталье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>Николаев</w:t>
      </w:r>
      <w:r w:rsidR="00BE0BED">
        <w:rPr>
          <w:rFonts w:ascii="Tahoma" w:hAnsi="Tahoma" w:cs="Tahoma"/>
          <w:sz w:val="20"/>
          <w:szCs w:val="20"/>
        </w:rPr>
        <w:t>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1563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="001563FA" w:rsidRPr="00291EE4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2A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563FA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767788" w:rsidRDefault="001563FA" w:rsidP="00FC4799">
            <w:pPr>
              <w:rPr>
                <w:rFonts w:ascii="Tahoma" w:hAnsi="Tahoma" w:cs="Tahoma"/>
                <w:sz w:val="20"/>
              </w:rPr>
            </w:pPr>
            <w:r w:rsidRPr="00767788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2</w:t>
            </w:r>
            <w:r w:rsidRPr="007677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67788">
              <w:rPr>
                <w:rFonts w:ascii="Tahoma" w:hAnsi="Tahoma" w:cs="Tahoma"/>
                <w:sz w:val="20"/>
              </w:rPr>
              <w:t xml:space="preserve">Прочие необходимые требования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Default="001563FA" w:rsidP="00FC4799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563FA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D322A2" w:rsidRDefault="001563FA" w:rsidP="001563FA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Default="001563FA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2FBE"/>
    <w:rsid w:val="00053E71"/>
    <w:rsid w:val="000C379B"/>
    <w:rsid w:val="000D4CF4"/>
    <w:rsid w:val="000E3A30"/>
    <w:rsid w:val="000F3D9F"/>
    <w:rsid w:val="00152FEC"/>
    <w:rsid w:val="001563FA"/>
    <w:rsid w:val="00175D6B"/>
    <w:rsid w:val="0019231D"/>
    <w:rsid w:val="00244222"/>
    <w:rsid w:val="00245F7D"/>
    <w:rsid w:val="00247010"/>
    <w:rsid w:val="002909D5"/>
    <w:rsid w:val="00291EE4"/>
    <w:rsid w:val="00297967"/>
    <w:rsid w:val="003360CD"/>
    <w:rsid w:val="00353DEF"/>
    <w:rsid w:val="00357523"/>
    <w:rsid w:val="003965A8"/>
    <w:rsid w:val="003A67BC"/>
    <w:rsid w:val="003F3BC6"/>
    <w:rsid w:val="004210FA"/>
    <w:rsid w:val="00484512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76AA1"/>
    <w:rsid w:val="006810CA"/>
    <w:rsid w:val="00682138"/>
    <w:rsid w:val="00683CEC"/>
    <w:rsid w:val="006C5ACB"/>
    <w:rsid w:val="006F7C9D"/>
    <w:rsid w:val="00752FFA"/>
    <w:rsid w:val="00767788"/>
    <w:rsid w:val="00783067"/>
    <w:rsid w:val="00826144"/>
    <w:rsid w:val="0086690E"/>
    <w:rsid w:val="00866A9B"/>
    <w:rsid w:val="00873845"/>
    <w:rsid w:val="00876ABA"/>
    <w:rsid w:val="00883D55"/>
    <w:rsid w:val="008F4FCA"/>
    <w:rsid w:val="009A6B03"/>
    <w:rsid w:val="009B1C24"/>
    <w:rsid w:val="00A36884"/>
    <w:rsid w:val="00A5323F"/>
    <w:rsid w:val="00A74877"/>
    <w:rsid w:val="00A92FBE"/>
    <w:rsid w:val="00AA1777"/>
    <w:rsid w:val="00AC2FBE"/>
    <w:rsid w:val="00AD2D44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EC2183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1289-23AA-4E2E-A0E3-E5E51C90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40</cp:revision>
  <cp:lastPrinted>2016-11-18T03:33:00Z</cp:lastPrinted>
  <dcterms:created xsi:type="dcterms:W3CDTF">2016-10-17T03:55:00Z</dcterms:created>
  <dcterms:modified xsi:type="dcterms:W3CDTF">2017-02-15T07:05:00Z</dcterms:modified>
</cp:coreProperties>
</file>